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微软雅黑" w:cs="微软雅黑" w:eastAsia="微软雅黑" w:hAnsi="微软雅黑"/>
          <w:b/>
          <w:bCs/>
          <w:color w:val="1F497D"/>
          <w:sz w:val="52"/>
          <w:szCs w:val="52"/>
        </w:rPr>
        <w:t xml:space="preserve">报错闭环处理报告</w:t>
      </w:r>
    </w:p>
    <w:tbl>
      <w:tblPr>
        <w:tblW w:type="pct" w:w="100%"/>
        <w:tblBorders>
          <w:top w:val="single" w:color="2E74B5" w:sz="4"/>
          <w:left w:val="single" w:color="2E74B5" w:sz="4"/>
          <w:bottom w:val="single" w:color="2E74B5" w:sz="4"/>
          <w:right w:val="single" w:color="2E74B5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25%"/>
            <w:shd w:fill="E8F0FB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2E74B5"/>
                <w:sz w:val="20"/>
                <w:szCs w:val="20"/>
              </w:rPr>
              <w:t xml:space="preserve">报告编号</w:t>
            </w:r>
          </w:p>
        </w:tc>
        <w:tc>
          <w:tcPr>
            <w:tcW w:type="pct" w:w="75%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333333"/>
                <w:sz w:val="20"/>
                <w:szCs w:val="20"/>
              </w:rPr>
              <w:t xml:space="preserve">REP-20260418-001</w:t>
            </w:r>
          </w:p>
        </w:tc>
      </w:tr>
      <w:tr>
        <w:tc>
          <w:tcPr>
            <w:tcW w:type="pct" w:w="25%"/>
            <w:shd w:fill="E8F0FB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2E74B5"/>
                <w:sz w:val="20"/>
                <w:szCs w:val="20"/>
              </w:rPr>
              <w:t xml:space="preserve">处理日期</w:t>
            </w:r>
          </w:p>
        </w:tc>
        <w:tc>
          <w:tcPr>
            <w:tcW w:type="pct" w:w="75%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333333"/>
                <w:sz w:val="20"/>
                <w:szCs w:val="20"/>
              </w:rPr>
              <w:t xml:space="preserve">2026年4月18日</w:t>
            </w:r>
          </w:p>
        </w:tc>
      </w:tr>
      <w:tr>
        <w:tc>
          <w:tcPr>
            <w:tcW w:type="pct" w:w="25%"/>
            <w:shd w:fill="E8F0FB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2E74B5"/>
                <w:sz w:val="20"/>
                <w:szCs w:val="20"/>
              </w:rPr>
              <w:t xml:space="preserve">报告类型</w:t>
            </w:r>
          </w:p>
        </w:tc>
        <w:tc>
          <w:tcPr>
            <w:tcW w:type="pct" w:w="75%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333333"/>
                <w:sz w:val="20"/>
                <w:szCs w:val="20"/>
              </w:rPr>
              <w:t xml:space="preserve">数据异常报错闭环处理</w:t>
            </w:r>
          </w:p>
        </w:tc>
      </w:tr>
      <w:tr>
        <w:tc>
          <w:tcPr>
            <w:tcW w:type="pct" w:w="25%"/>
            <w:shd w:fill="E8F0FB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2E74B5"/>
                <w:sz w:val="20"/>
                <w:szCs w:val="20"/>
              </w:rPr>
              <w:t xml:space="preserve">处理状态</w:t>
            </w:r>
          </w:p>
        </w:tc>
        <w:tc>
          <w:tcPr>
            <w:tcW w:type="pct" w:w="75%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333333"/>
                <w:sz w:val="20"/>
                <w:szCs w:val="20"/>
              </w:rPr>
              <w:t xml:space="preserve">已完成</w:t>
            </w:r>
          </w:p>
        </w:tc>
      </w:tr>
      <w:tr>
        <w:tc>
          <w:tcPr>
            <w:tcW w:type="pct" w:w="25%"/>
            <w:shd w:fill="E8F0FB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2E74B5"/>
                <w:sz w:val="20"/>
                <w:szCs w:val="20"/>
              </w:rPr>
              <w:t xml:space="preserve">报告人</w:t>
            </w:r>
          </w:p>
        </w:tc>
        <w:tc>
          <w:tcPr>
            <w:tcW w:type="pct" w:w="75%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333333"/>
                <w:sz w:val="20"/>
                <w:szCs w:val="20"/>
              </w:rPr>
              <w:t xml:space="preserve">（请填写）</w:t>
            </w:r>
          </w:p>
        </w:tc>
      </w:tr>
    </w:tbl>
    <w:p>
      <w:pPr>
        <w:spacing w:after="200"/>
      </w:pPr>
    </w:p>
    <w:p>
      <w:pPr>
        <w:shd w:fill="2E74B5" w:color="auto" w:val="clear"/>
        <w:spacing w:after="80" w:before="120"/>
        <w:ind w:left="0"/>
      </w:pPr>
      <w:r>
        <w:rPr>
          <w:rFonts w:ascii="微软雅黑" w:cs="微软雅黑" w:eastAsia="微软雅黑" w:hAnsi="微软雅黑"/>
          <w:b/>
          <w:bCs/>
          <w:color w:val="FFFFFF"/>
          <w:sz w:val="26"/>
          <w:szCs w:val="26"/>
        </w:rPr>
        <w:t xml:space="preserve">  一、报错分析</w:t>
      </w:r>
    </w:p>
    <w:p>
      <w:pPr>
        <w:spacing w:after="60" w:before="60"/>
        <w:ind w:firstLine="480"/>
      </w:pPr>
      <w:r>
        <w:rPr>
          <w:rFonts w:ascii="微软雅黑" w:cs="微软雅黑" w:eastAsia="微软雅黑" w:hAnsi="微软雅黑"/>
          <w:b w:val="false"/>
          <w:bCs w:val="false"/>
          <w:color w:val="333333"/>
          <w:sz w:val="22"/>
          <w:szCs w:val="22"/>
        </w:rPr>
        <w:t xml:space="preserve">2026年4月18日，系统出现数据异常波动，经排查定位，确认问题原因如下：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设备端上传的异常参数参与了后台整体运算流程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该参数导致当日统计结果产生剧烈偏差</w:t>
      </w:r>
    </w:p>
    <w:p>
      <w:pPr>
        <w:spacing w:after="100"/>
      </w:pPr>
    </w:p>
    <w:p>
      <w:pPr>
        <w:spacing w:after="80" w:before="80"/>
      </w:pPr>
      <w:r>
        <w:rPr>
          <w:rFonts w:ascii="微软雅黑" w:cs="微软雅黑" w:eastAsia="微软雅黑" w:hAnsi="微软雅黑"/>
          <w:b/>
          <w:bCs/>
          <w:color w:val="2E74B5"/>
          <w:sz w:val="22"/>
          <w:szCs w:val="22"/>
        </w:rPr>
        <w:t xml:space="preserve">【错误截图】</w:t>
      </w:r>
    </w:p>
    <w:p>
      <w:pPr>
        <w:spacing w:after="200"/>
        <w:jc w:val="center"/>
      </w:pPr>
      <w:r>
        <w:drawing>
          <wp:inline distT="0" distB="0" distL="0" distR="0">
            <wp:extent cx="5334000" cy="1714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 w:before="80"/>
        <w:ind w:firstLine="480"/>
      </w:pPr>
      <w:r>
        <w:rPr>
          <w:rFonts w:ascii="微软雅黑" w:cs="微软雅黑" w:eastAsia="微软雅黑" w:hAnsi="微软雅黑"/>
          <w:b/>
          <w:bCs/>
          <w:color w:val="C00000"/>
          <w:sz w:val="22"/>
          <w:szCs w:val="22"/>
        </w:rPr>
        <w:t xml:space="preserve">问题描述：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由于设备数据上传到后台后，后台将该参数参与了整体运算过程，导致该天数据产生巨大差异。</w:t>
      </w:r>
    </w:p>
    <w:p>
      <w:pPr>
        <w:pBdr>
          <w:bottom w:val="single" w:color="CCCCCC" w:sz="6" w:space="1"/>
        </w:pBdr>
        <w:spacing w:after="100"/>
      </w:pPr>
    </w:p>
    <w:p>
      <w:pPr>
        <w:shd w:fill="2E74B5" w:color="auto" w:val="clear"/>
        <w:spacing w:after="80" w:before="120"/>
        <w:ind w:left="0"/>
      </w:pPr>
      <w:r>
        <w:rPr>
          <w:rFonts w:ascii="微软雅黑" w:cs="微软雅黑" w:eastAsia="微软雅黑" w:hAnsi="微软雅黑"/>
          <w:b/>
          <w:bCs/>
          <w:color w:val="FFFFFF"/>
          <w:sz w:val="26"/>
          <w:szCs w:val="26"/>
        </w:rPr>
        <w:t xml:space="preserve">  二、后台维度处理措施</w:t>
      </w:r>
    </w:p>
    <w:p>
      <w:pPr>
        <w:spacing w:after="60" w:before="60"/>
        <w:ind w:firstLine="480"/>
      </w:pPr>
      <w:r>
        <w:rPr>
          <w:rFonts w:ascii="微软雅黑" w:cs="微软雅黑" w:eastAsia="微软雅黑" w:hAnsi="微软雅黑"/>
          <w:b w:val="false"/>
          <w:bCs w:val="false"/>
          <w:color w:val="333333"/>
          <w:sz w:val="22"/>
          <w:szCs w:val="22"/>
        </w:rPr>
        <w:t xml:space="preserve">针对本次数据异常，已从以下维度制定并落实处理方案：</w:t>
      </w:r>
    </w:p>
    <w:p>
      <w:pPr>
        <w:spacing w:after="60" w:before="120"/>
      </w:pPr>
      <w:r>
        <w:rPr>
          <w:rFonts w:ascii="微软雅黑" w:cs="微软雅黑" w:eastAsia="微软雅黑" w:hAnsi="微软雅黑"/>
          <w:b/>
          <w:bCs/>
          <w:color w:val="1F497D"/>
          <w:sz w:val="24"/>
          <w:szCs w:val="24"/>
        </w:rPr>
        <w:t xml:space="preserve">2.1 数据校验增强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对特定字段数据增加范围校验与合法性校验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对边界值与极值进行实时告警拦截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引入异常数据默认值兜底机制，防止脏数据扩散</w:t>
      </w:r>
    </w:p>
    <w:p>
      <w:pPr>
        <w:spacing w:after="60" w:before="120"/>
      </w:pPr>
      <w:r>
        <w:rPr>
          <w:rFonts w:ascii="微软雅黑" w:cs="微软雅黑" w:eastAsia="微软雅黑" w:hAnsi="微软雅黑"/>
          <w:b/>
          <w:bCs/>
          <w:color w:val="1F497D"/>
          <w:sz w:val="24"/>
          <w:szCs w:val="24"/>
        </w:rPr>
        <w:t xml:space="preserve">2.2 后台运算管控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消除异常操作对数据统计的影响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对参与整体运算的字段增加白名单过滤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建立敏感参数修改的操作审计日志</w:t>
      </w:r>
    </w:p>
    <w:p>
      <w:pPr>
        <w:spacing w:after="60" w:before="120"/>
      </w:pPr>
      <w:r>
        <w:rPr>
          <w:rFonts w:ascii="微软雅黑" w:cs="微软雅黑" w:eastAsia="微软雅黑" w:hAnsi="微软雅黑"/>
          <w:b/>
          <w:bCs/>
          <w:color w:val="1F497D"/>
          <w:sz w:val="24"/>
          <w:szCs w:val="24"/>
        </w:rPr>
        <w:t xml:space="preserve">2.3 预警与闭环机制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设置数据波动阈值告警，超过阈值自动通知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完善异常数据处理流程，形成闭环跟踪机制</w:t>
      </w:r>
    </w:p>
    <w:p>
      <w:pPr>
        <w:spacing w:after="40" w:before="40"/>
        <w:ind w:left="480"/>
      </w:pPr>
      <w:r>
        <w:rPr>
          <w:rFonts w:ascii="微软雅黑" w:cs="微软雅黑" w:eastAsia="微软雅黑" w:hAnsi="微软雅黑"/>
          <w:color w:val="2E74B5"/>
          <w:sz w:val="22"/>
          <w:szCs w:val="22"/>
        </w:rPr>
        <w:t xml:space="preserve">•  </w:t>
      </w: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定期回溯验证，确保类似事件不再复发</w:t>
      </w:r>
    </w:p>
    <w:p>
      <w:pPr>
        <w:spacing w:after="200"/>
      </w:pPr>
    </w:p>
    <w:p>
      <w:pPr>
        <w:pBdr>
          <w:bottom w:val="single" w:color="CCCCCC" w:sz="6" w:space="1"/>
        </w:pBdr>
        <w:spacing w:after="100"/>
      </w:pPr>
    </w:p>
    <w:p>
      <w:pPr>
        <w:shd w:fill="2E74B5" w:color="auto" w:val="clear"/>
        <w:spacing w:after="80" w:before="120"/>
        <w:ind w:left="0"/>
      </w:pPr>
      <w:r>
        <w:rPr>
          <w:rFonts w:ascii="微软雅黑" w:cs="微软雅黑" w:eastAsia="微软雅黑" w:hAnsi="微软雅黑"/>
          <w:b/>
          <w:bCs/>
          <w:color w:val="FFFFFF"/>
          <w:sz w:val="26"/>
          <w:szCs w:val="26"/>
        </w:rPr>
        <w:t xml:space="preserve">  三、处理结论</w:t>
      </w:r>
    </w:p>
    <w:p>
      <w:pPr>
        <w:pBdr>
          <w:top w:val="single" w:color="4F81BD" w:sz="4"/>
          <w:bottom w:val="single" w:color="4F81BD" w:sz="4"/>
          <w:left w:val="single" w:color="4F81BD" w:sz="12"/>
          <w:right w:val="single" w:color="4F81BD" w:sz="4"/>
        </w:pBdr>
        <w:shd w:fill="F0F7FF" w:color="auto" w:val="clear"/>
        <w:spacing w:after="80" w:before="80"/>
        <w:ind w:left="100"/>
      </w:pPr>
      <w:r>
        <w:rPr>
          <w:rFonts w:ascii="微软雅黑" w:cs="微软雅黑" w:eastAsia="微软雅黑" w:hAnsi="微软雅黑"/>
          <w:color w:val="333333"/>
          <w:sz w:val="22"/>
          <w:szCs w:val="22"/>
        </w:rPr>
        <w:t xml:space="preserve">  处理结论：对特定字段数据进行管控处理，消除对数据异常进行的异常操作处理，增强校验机制，达到数据处理准确结果，避免类似事件再次发生。</w:t>
      </w:r>
    </w:p>
    <w:p>
      <w:pPr>
        <w:spacing w:after="200"/>
      </w:pPr>
    </w:p>
    <w:p>
      <w:pPr>
        <w:pBdr>
          <w:bottom w:val="single" w:color="CCCCCC" w:sz="6" w:space="1"/>
        </w:pBdr>
        <w:spacing w:after="100"/>
      </w:pPr>
    </w:p>
    <w:p>
      <w:pPr>
        <w:shd w:fill="2E74B5" w:color="auto" w:val="clear"/>
        <w:spacing w:after="80" w:before="120"/>
        <w:ind w:left="0"/>
      </w:pPr>
      <w:r>
        <w:rPr>
          <w:rFonts w:ascii="微软雅黑" w:cs="微软雅黑" w:eastAsia="微软雅黑" w:hAnsi="微软雅黑"/>
          <w:b/>
          <w:bCs/>
          <w:color w:val="FFFFFF"/>
          <w:sz w:val="26"/>
          <w:szCs w:val="26"/>
        </w:rPr>
        <w:t xml:space="preserve">  四、处理进度</w:t>
      </w:r>
    </w:p>
    <w:tbl>
      <w:tblPr>
        <w:tblW w:type="pct" w:w="100%"/>
        <w:tblBorders>
          <w:top w:val="single" w:color="2E74B5" w:sz="4"/>
          <w:left w:val="single" w:color="2E74B5" w:sz="4"/>
          <w:bottom w:val="single" w:color="2E74B5" w:sz="4"/>
          <w:right w:val="single" w:color="2E74B5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10%"/>
            <w:shd w:fill="2E74B5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序号</w:t>
            </w:r>
          </w:p>
        </w:tc>
        <w:tc>
          <w:tcPr>
            <w:tcW w:type="pct" w:w="30%"/>
            <w:shd w:fill="2E74B5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处理阶段</w:t>
            </w:r>
          </w:p>
        </w:tc>
        <w:tc>
          <w:tcPr>
            <w:tcW w:type="pct" w:w="35%"/>
            <w:shd w:fill="2E74B5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处理措施</w:t>
            </w:r>
          </w:p>
        </w:tc>
        <w:tc>
          <w:tcPr>
            <w:tcW w:type="pct" w:w="15%"/>
            <w:shd w:fill="2E74B5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完成时间</w:t>
            </w:r>
          </w:p>
        </w:tc>
        <w:tc>
          <w:tcPr>
            <w:tcW w:type="pct" w:w="10%"/>
            <w:shd w:fill="2E74B5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状态</w:t>
            </w:r>
          </w:p>
        </w:tc>
      </w:tr>
      <w:tr>
        <w:tc>
          <w:tcPr>
            <w:tcW w:type="pct" w:w="10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1</w:t>
            </w:r>
          </w:p>
        </w:tc>
        <w:tc>
          <w:tcPr>
            <w:tcW w:type="pct" w:w="30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问题定位</w:t>
            </w:r>
          </w:p>
        </w:tc>
        <w:tc>
          <w:tcPr>
            <w:tcW w:type="pct" w:w="35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确认设备异常参数上传原因</w:t>
            </w:r>
          </w:p>
        </w:tc>
        <w:tc>
          <w:tcPr>
            <w:tcW w:type="pct" w:w="15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2026-04-18</w:t>
            </w:r>
          </w:p>
        </w:tc>
        <w:tc>
          <w:tcPr>
            <w:tcW w:type="pct" w:w="10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00B050"/>
                <w:sz w:val="20"/>
                <w:szCs w:val="20"/>
              </w:rPr>
              <w:t xml:space="preserve">已完成</w:t>
            </w:r>
          </w:p>
        </w:tc>
      </w:tr>
      <w:tr>
        <w:tc>
          <w:tcPr>
            <w:tcW w:type="pct" w:w="10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2</w:t>
            </w:r>
          </w:p>
        </w:tc>
        <w:tc>
          <w:tcPr>
            <w:tcW w:type="pct" w:w="30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数据修复</w:t>
            </w:r>
          </w:p>
        </w:tc>
        <w:tc>
          <w:tcPr>
            <w:tcW w:type="pct" w:w="35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清洗当日异常数据，恢复正确统计结果</w:t>
            </w:r>
          </w:p>
        </w:tc>
        <w:tc>
          <w:tcPr>
            <w:tcW w:type="pct" w:w="15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2026-04-18</w:t>
            </w:r>
          </w:p>
        </w:tc>
        <w:tc>
          <w:tcPr>
            <w:tcW w:type="pct" w:w="10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00B050"/>
                <w:sz w:val="20"/>
                <w:szCs w:val="20"/>
              </w:rPr>
              <w:t xml:space="preserve">已完成</w:t>
            </w:r>
          </w:p>
        </w:tc>
      </w:tr>
      <w:tr>
        <w:tc>
          <w:tcPr>
            <w:tcW w:type="pct" w:w="10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3</w:t>
            </w:r>
          </w:p>
        </w:tc>
        <w:tc>
          <w:tcPr>
            <w:tcW w:type="pct" w:w="30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校验增强</w:t>
            </w:r>
          </w:p>
        </w:tc>
        <w:tc>
          <w:tcPr>
            <w:tcW w:type="pct" w:w="35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增加参数合法性校验与极值告警机制</w:t>
            </w:r>
          </w:p>
        </w:tc>
        <w:tc>
          <w:tcPr>
            <w:tcW w:type="pct" w:w="15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2026-04-18</w:t>
            </w:r>
          </w:p>
        </w:tc>
        <w:tc>
          <w:tcPr>
            <w:tcW w:type="pct" w:w="10%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00B050"/>
                <w:sz w:val="20"/>
                <w:szCs w:val="20"/>
              </w:rPr>
              <w:t xml:space="preserve">已完成</w:t>
            </w:r>
          </w:p>
        </w:tc>
      </w:tr>
      <w:tr>
        <w:tc>
          <w:tcPr>
            <w:tcW w:type="pct" w:w="10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4</w:t>
            </w:r>
          </w:p>
        </w:tc>
        <w:tc>
          <w:tcPr>
            <w:tcW w:type="pct" w:w="30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持续监控</w:t>
            </w:r>
          </w:p>
        </w:tc>
        <w:tc>
          <w:tcPr>
            <w:tcW w:type="pct" w:w="35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建立数据波动告警与周期性回溯机制</w:t>
            </w:r>
          </w:p>
        </w:tc>
        <w:tc>
          <w:tcPr>
            <w:tcW w:type="pct" w:w="15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2026-04-18</w:t>
            </w:r>
          </w:p>
        </w:tc>
        <w:tc>
          <w:tcPr>
            <w:tcW w:type="pct" w:w="10%"/>
            <w:shd w:fill="F0F7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color w:val="00B050"/>
                <w:sz w:val="20"/>
                <w:szCs w:val="20"/>
              </w:rPr>
              <w:t xml:space="preserve">已完成</w:t>
            </w:r>
          </w:p>
        </w:tc>
      </w:tr>
    </w:tbl>
    <w:p>
      <w:pPr>
        <w:spacing w:after="300"/>
      </w:pPr>
    </w:p>
    <w:p>
      <w:pPr>
        <w:pBdr>
          <w:bottom w:val="single" w:color="CCCCCC" w:sz="6" w:space="1"/>
        </w:pBdr>
        <w:spacing w:after="100"/>
      </w:pPr>
    </w:p>
    <w:p>
      <w:pPr>
        <w:shd w:fill="2E74B5" w:color="auto" w:val="clear"/>
        <w:spacing w:after="80" w:before="120"/>
        <w:ind w:left="0"/>
      </w:pPr>
      <w:r>
        <w:rPr>
          <w:rFonts w:ascii="微软雅黑" w:cs="微软雅黑" w:eastAsia="微软雅黑" w:hAnsi="微软雅黑"/>
          <w:b/>
          <w:bCs/>
          <w:color w:val="FFFFFF"/>
          <w:sz w:val="26"/>
          <w:szCs w:val="26"/>
        </w:rPr>
        <w:t xml:space="preserve">  五、签字确认</w:t>
      </w:r>
    </w:p>
    <w:p>
      <w:pPr>
        <w:spacing w:after="160" w:before="80"/>
      </w:pPr>
      <w:r>
        <w:rPr>
          <w:rFonts w:ascii="微软雅黑" w:cs="微软雅黑" w:eastAsia="微软雅黑" w:hAnsi="微软雅黑"/>
          <w:color w:val="666666"/>
          <w:sz w:val="22"/>
          <w:szCs w:val="22"/>
        </w:rPr>
        <w:t xml:space="preserve">本报告由相关责任人确认签字后归档，确保问题处理闭环可追溯。</w:t>
      </w:r>
    </w:p>
    <w:tbl>
      <w:tblPr>
        <w:tblW w:type="pct" w:w="100%"/>
        <w:tblBorders>
          <w:top w:val="single" w:color="2E74B5" w:sz="4"/>
          <w:left w:val="single" w:color="2E74B5" w:sz="4"/>
          <w:bottom w:val="single" w:color="2E74B5" w:sz="4"/>
          <w:right w:val="single" w:color="2E74B5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20%"/>
            <w:shd w:fill="2E74B5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角色</w:t>
            </w:r>
          </w:p>
        </w:tc>
        <w:tc>
          <w:tcPr>
            <w:tcW w:type="pct" w:w="25%"/>
            <w:shd w:fill="2E74B5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姓名</w:t>
            </w:r>
          </w:p>
        </w:tc>
        <w:tc>
          <w:tcPr>
            <w:tcW w:type="pct" w:w="35%"/>
            <w:shd w:fill="2E74B5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签字</w:t>
            </w:r>
          </w:p>
        </w:tc>
        <w:tc>
          <w:tcPr>
            <w:tcW w:type="pct" w:w="20%"/>
            <w:shd w:fill="2E74B5" w:color="auto" w:val="clear"/>
            <w:tcMar>
              <w:top w:type="dxa" w:w="80"/>
              <w:left w:type="dxa" w:w="120"/>
              <w:bottom w:type="dxa" w:w="8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b/>
                <w:bCs/>
                <w:color w:val="FFFFFF"/>
                <w:sz w:val="20"/>
                <w:szCs w:val="20"/>
              </w:rPr>
              <w:t xml:space="preserve">日期</w:t>
            </w:r>
          </w:p>
        </w:tc>
      </w:tr>
      <w:tr>
        <w:tc>
          <w:tcPr>
            <w:tcW w:type="pct" w:w="20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提出人</w:t>
            </w:r>
          </w:p>
        </w:tc>
        <w:tc>
          <w:tcPr>
            <w:tcW w:type="pct" w:w="25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35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20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</w:tr>
      <w:tr>
        <w:tc>
          <w:tcPr>
            <w:tcW w:type="pct" w:w="20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开发负责人</w:t>
            </w:r>
          </w:p>
        </w:tc>
        <w:tc>
          <w:tcPr>
            <w:tcW w:type="pct" w:w="25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35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20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</w:tr>
      <w:tr>
        <w:tc>
          <w:tcPr>
            <w:tcW w:type="pct" w:w="20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测试负责人</w:t>
            </w:r>
          </w:p>
        </w:tc>
        <w:tc>
          <w:tcPr>
            <w:tcW w:type="pct" w:w="25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35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20%"/>
            <w:shd w:fill="FFFF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</w:tr>
      <w:tr>
        <w:tc>
          <w:tcPr>
            <w:tcW w:type="pct" w:w="20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>
            <w:r>
              <w:rPr>
                <w:rFonts w:ascii="微软雅黑" w:cs="微软雅黑" w:eastAsia="微软雅黑" w:hAnsi="微软雅黑"/>
                <w:sz w:val="20"/>
                <w:szCs w:val="20"/>
              </w:rPr>
              <w:t xml:space="preserve">审批人</w:t>
            </w:r>
          </w:p>
        </w:tc>
        <w:tc>
          <w:tcPr>
            <w:tcW w:type="pct" w:w="25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35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  <w:tc>
          <w:tcPr>
            <w:tcW w:type="pct" w:w="20%"/>
            <w:shd w:fill="F0F7FF" w:color="auto" w:val="clear"/>
            <w:tcMar>
              <w:top w:type="dxa" w:w="120"/>
              <w:left w:type="dxa" w:w="120"/>
              <w:bottom w:type="dxa" w:w="120"/>
              <w:right w:type="dxa" w:w="80"/>
            </w:tcMar>
          </w:tcPr>
          <w:p/>
        </w:tc>
      </w:tr>
    </w:tbl>
    <w:sectPr>
      <w:pgSz w:w="11906" w:h="16838" w:orient="portrait"/>
      <w:pgMar w:top="1440" w:right="1800" w:bottom="1440" w:left="18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微软雅黑" w:cs="微软雅黑" w:eastAsia="微软雅黑" w:hAnsi="微软雅黑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ac1342a3a57e60c6a610da23b7c2acfb62e8da57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2026-04-21T05:57:25.494Z</dcterms:created>
  <dcterms:modified xsi:type="dcterms:W3CDTF">2026-04-21T05:57:25.497Z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